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A1" w:rsidRPr="00110BA1" w:rsidRDefault="00110BA1" w:rsidP="00110BA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 w:rsidRPr="00110BA1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4E459016" wp14:editId="5DB57CA6">
            <wp:extent cx="676275" cy="800100"/>
            <wp:effectExtent l="0" t="0" r="9525" b="0"/>
            <wp:docPr id="2" name="Рисунок 2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BA1" w:rsidRPr="00110BA1" w:rsidRDefault="00110BA1" w:rsidP="00110BA1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110BA1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110BA1">
        <w:rPr>
          <w:rFonts w:ascii="Arial" w:hAnsi="Arial" w:cs="Arial"/>
          <w:sz w:val="32"/>
          <w:szCs w:val="32"/>
        </w:rPr>
        <w:t>к</w:t>
      </w:r>
      <w:proofErr w:type="gramEnd"/>
      <w:r w:rsidRPr="00110BA1">
        <w:rPr>
          <w:rFonts w:ascii="Arial" w:hAnsi="Arial" w:cs="Arial"/>
          <w:sz w:val="32"/>
          <w:szCs w:val="32"/>
        </w:rPr>
        <w:t xml:space="preserve"> а я   о б л а с т ь</w:t>
      </w:r>
    </w:p>
    <w:p w:rsidR="00110BA1" w:rsidRPr="00110BA1" w:rsidRDefault="00110BA1" w:rsidP="00110BA1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10BA1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110BA1" w:rsidRPr="00110BA1" w:rsidRDefault="00110BA1" w:rsidP="00110BA1">
      <w:pPr>
        <w:pStyle w:val="2"/>
        <w:tabs>
          <w:tab w:val="left" w:pos="0"/>
          <w:tab w:val="left" w:pos="567"/>
          <w:tab w:val="left" w:pos="709"/>
        </w:tabs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110BA1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110BA1" w:rsidRPr="00110BA1" w:rsidRDefault="00110BA1" w:rsidP="00110BA1">
      <w:pPr>
        <w:pStyle w:val="2"/>
        <w:tabs>
          <w:tab w:val="left" w:pos="0"/>
          <w:tab w:val="left" w:pos="567"/>
          <w:tab w:val="left" w:pos="709"/>
        </w:tabs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110BA1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167BD249" wp14:editId="273EF62A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678E" id="Прямая соединительная линия 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110BA1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110BA1" w:rsidRPr="00110BA1" w:rsidRDefault="00110BA1" w:rsidP="00110BA1">
      <w:pPr>
        <w:tabs>
          <w:tab w:val="left" w:pos="0"/>
        </w:tabs>
        <w:spacing w:after="0"/>
        <w:jc w:val="center"/>
        <w:rPr>
          <w:rFonts w:ascii="Arial" w:eastAsia="MS Mincho" w:hAnsi="Arial" w:cs="Arial"/>
          <w:sz w:val="24"/>
          <w:szCs w:val="24"/>
        </w:rPr>
      </w:pPr>
      <w:r w:rsidRPr="00110BA1">
        <w:rPr>
          <w:rFonts w:ascii="Arial" w:hAnsi="Arial" w:cs="Arial"/>
          <w:sz w:val="24"/>
          <w:szCs w:val="24"/>
        </w:rPr>
        <w:t>14-е очередное заседание</w:t>
      </w:r>
    </w:p>
    <w:p w:rsidR="00110BA1" w:rsidRPr="00110BA1" w:rsidRDefault="00110BA1" w:rsidP="00110BA1">
      <w:pPr>
        <w:pStyle w:val="1"/>
        <w:spacing w:before="0"/>
        <w:jc w:val="center"/>
        <w:rPr>
          <w:rFonts w:ascii="Arial" w:eastAsia="Times New Roman" w:hAnsi="Arial" w:cs="Arial"/>
          <w:b/>
          <w:color w:val="auto"/>
        </w:rPr>
      </w:pPr>
      <w:r w:rsidRPr="00110BA1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110BA1" w:rsidRPr="00110BA1" w:rsidTr="00110BA1">
        <w:trPr>
          <w:jc w:val="center"/>
        </w:trPr>
        <w:tc>
          <w:tcPr>
            <w:tcW w:w="4044" w:type="dxa"/>
            <w:hideMark/>
          </w:tcPr>
          <w:p w:rsidR="00110BA1" w:rsidRPr="00110BA1" w:rsidRDefault="00110BA1" w:rsidP="00110BA1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10BA1"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110BA1" w:rsidRPr="00110BA1" w:rsidRDefault="00110BA1" w:rsidP="00110BA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110BA1" w:rsidRPr="00110BA1" w:rsidRDefault="00110BA1" w:rsidP="00110BA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110BA1" w:rsidRPr="00110BA1" w:rsidRDefault="00110BA1" w:rsidP="00110BA1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110BA1" w:rsidRPr="00110BA1" w:rsidRDefault="00110BA1" w:rsidP="00110BA1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110BA1" w:rsidRPr="00110BA1" w:rsidRDefault="00110BA1" w:rsidP="00110BA1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10BA1">
              <w:rPr>
                <w:rFonts w:ascii="Arial" w:hAnsi="Arial" w:cs="Arial"/>
                <w:sz w:val="32"/>
                <w:szCs w:val="32"/>
              </w:rPr>
              <w:t>№ 14/289</w:t>
            </w:r>
          </w:p>
        </w:tc>
        <w:bookmarkEnd w:id="0"/>
        <w:bookmarkEnd w:id="1"/>
      </w:tr>
    </w:tbl>
    <w:p w:rsidR="00315320" w:rsidRDefault="00315320" w:rsidP="00F3061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F65FF" w:rsidRDefault="00086B27" w:rsidP="00F3061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30614">
        <w:rPr>
          <w:rFonts w:ascii="PT Astra Serif" w:hAnsi="PT Astra Serif"/>
          <w:b/>
          <w:sz w:val="24"/>
          <w:szCs w:val="24"/>
        </w:rPr>
        <w:t>О внесении изменени</w:t>
      </w:r>
      <w:r w:rsidR="00790276" w:rsidRPr="00F30614">
        <w:rPr>
          <w:rFonts w:ascii="PT Astra Serif" w:hAnsi="PT Astra Serif"/>
          <w:b/>
          <w:sz w:val="24"/>
          <w:szCs w:val="24"/>
        </w:rPr>
        <w:t>й</w:t>
      </w:r>
      <w:r w:rsidRPr="00F30614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F30614">
        <w:rPr>
          <w:rFonts w:ascii="PT Astra Serif" w:hAnsi="PT Astra Serif"/>
          <w:b/>
          <w:sz w:val="24"/>
          <w:szCs w:val="24"/>
        </w:rPr>
        <w:t xml:space="preserve">в </w:t>
      </w:r>
      <w:r w:rsidR="00F30614" w:rsidRPr="00F30614">
        <w:rPr>
          <w:rFonts w:ascii="PT Astra Serif" w:hAnsi="PT Astra Serif" w:cs="Arial"/>
          <w:b/>
          <w:sz w:val="24"/>
          <w:szCs w:val="24"/>
        </w:rPr>
        <w:t>решение Тульской городской Думы</w:t>
      </w:r>
    </w:p>
    <w:p w:rsidR="00F30614" w:rsidRPr="00F30614" w:rsidRDefault="00F30614" w:rsidP="00F3061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30614">
        <w:rPr>
          <w:rFonts w:ascii="PT Astra Serif" w:hAnsi="PT Astra Serif" w:cs="Arial"/>
          <w:b/>
          <w:sz w:val="24"/>
          <w:szCs w:val="24"/>
        </w:rPr>
        <w:t xml:space="preserve"> от 22 апреля 2015 г. № 11/266</w:t>
      </w:r>
      <w:r w:rsidR="00F119F5">
        <w:rPr>
          <w:rFonts w:ascii="PT Astra Serif" w:hAnsi="PT Astra Serif" w:cs="Arial"/>
          <w:b/>
          <w:sz w:val="24"/>
          <w:szCs w:val="24"/>
        </w:rPr>
        <w:t xml:space="preserve"> </w:t>
      </w:r>
      <w:r w:rsidRPr="00F30614">
        <w:rPr>
          <w:rFonts w:ascii="PT Astra Serif" w:hAnsi="PT Astra Serif" w:cs="Arial"/>
          <w:b/>
          <w:sz w:val="24"/>
          <w:szCs w:val="24"/>
        </w:rPr>
        <w:t>«Об организации платных городских парковок в муниципальном образовании город Тула»</w:t>
      </w:r>
    </w:p>
    <w:p w:rsidR="00C25491" w:rsidRDefault="00C25491" w:rsidP="0095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C7E95" w:rsidRPr="002F350F" w:rsidRDefault="006C1A26" w:rsidP="0052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2F350F">
        <w:rPr>
          <w:rFonts w:ascii="PT Astra Serif" w:hAnsi="PT Astra Serif"/>
          <w:sz w:val="24"/>
          <w:szCs w:val="24"/>
        </w:rPr>
        <w:t xml:space="preserve">В соответствии с </w:t>
      </w:r>
      <w:r w:rsidR="00955625" w:rsidRPr="002F350F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9" w:history="1">
        <w:r w:rsidR="00955625" w:rsidRPr="002F350F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955625" w:rsidRPr="002F350F">
        <w:rPr>
          <w:rFonts w:ascii="PT Astra Serif" w:hAnsi="PT Astra Serif" w:cs="Arial"/>
          <w:sz w:val="24"/>
          <w:szCs w:val="24"/>
        </w:rPr>
        <w:t xml:space="preserve"> от 6</w:t>
      </w:r>
      <w:r w:rsidRPr="002F350F">
        <w:rPr>
          <w:rFonts w:ascii="PT Astra Serif" w:hAnsi="PT Astra Serif" w:cs="Arial"/>
          <w:sz w:val="24"/>
          <w:szCs w:val="24"/>
        </w:rPr>
        <w:t xml:space="preserve"> октября </w:t>
      </w:r>
      <w:r w:rsidR="00955625" w:rsidRPr="002F350F">
        <w:rPr>
          <w:rFonts w:ascii="PT Astra Serif" w:hAnsi="PT Astra Serif" w:cs="Arial"/>
          <w:sz w:val="24"/>
          <w:szCs w:val="24"/>
        </w:rPr>
        <w:t>2003</w:t>
      </w:r>
      <w:r w:rsidRPr="002F350F">
        <w:rPr>
          <w:rFonts w:ascii="PT Astra Serif" w:hAnsi="PT Astra Serif" w:cs="Arial"/>
          <w:sz w:val="24"/>
          <w:szCs w:val="24"/>
        </w:rPr>
        <w:t xml:space="preserve"> г. №</w:t>
      </w:r>
      <w:r w:rsidR="00955625" w:rsidRPr="002F350F">
        <w:rPr>
          <w:rFonts w:ascii="PT Astra Serif" w:hAnsi="PT Astra Serif" w:cs="Arial"/>
          <w:sz w:val="24"/>
          <w:szCs w:val="24"/>
        </w:rPr>
        <w:t xml:space="preserve"> 131-ФЗ </w:t>
      </w:r>
      <w:r w:rsidRPr="002F350F">
        <w:rPr>
          <w:rFonts w:ascii="PT Astra Serif" w:hAnsi="PT Astra Serif" w:cs="Arial"/>
          <w:sz w:val="24"/>
          <w:szCs w:val="24"/>
        </w:rPr>
        <w:t>«</w:t>
      </w:r>
      <w:r w:rsidR="00955625" w:rsidRPr="002F350F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2F350F">
        <w:rPr>
          <w:rFonts w:ascii="PT Astra Serif" w:hAnsi="PT Astra Serif" w:cs="Arial"/>
          <w:sz w:val="24"/>
          <w:szCs w:val="24"/>
        </w:rPr>
        <w:t xml:space="preserve">», </w:t>
      </w:r>
      <w:r w:rsidR="00CA184B" w:rsidRPr="002F350F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2F350F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2F350F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2F350F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2F350F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2F350F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2F350F">
        <w:rPr>
          <w:rFonts w:ascii="PT Astra Serif" w:hAnsi="PT Astra Serif"/>
          <w:sz w:val="24"/>
          <w:szCs w:val="24"/>
        </w:rPr>
        <w:t xml:space="preserve"> </w:t>
      </w:r>
      <w:r w:rsidR="00CA184B" w:rsidRPr="002F350F">
        <w:rPr>
          <w:rFonts w:ascii="PT Astra Serif" w:hAnsi="PT Astra Serif"/>
          <w:sz w:val="24"/>
          <w:szCs w:val="24"/>
        </w:rPr>
        <w:t xml:space="preserve"> </w:t>
      </w:r>
      <w:r w:rsidR="00CC7E95" w:rsidRPr="002F350F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52708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BA5C5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2" w:name="_GoBack"/>
      <w:r>
        <w:rPr>
          <w:rFonts w:ascii="PT Astra Serif" w:hAnsi="PT Astra Serif"/>
          <w:sz w:val="24"/>
          <w:szCs w:val="24"/>
        </w:rPr>
        <w:t>Р</w:t>
      </w:r>
      <w:r w:rsidR="001F65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1F65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1F65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1F65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1F65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bookmarkEnd w:id="2"/>
    <w:p w:rsidR="005422D1" w:rsidRDefault="005422D1" w:rsidP="00527086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6C1A26" w:rsidRPr="00F30614" w:rsidRDefault="006D5D21" w:rsidP="0052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30614">
        <w:rPr>
          <w:rFonts w:ascii="PT Astra Serif" w:hAnsi="PT Astra Serif"/>
          <w:sz w:val="24"/>
          <w:szCs w:val="24"/>
        </w:rPr>
        <w:t>1.</w:t>
      </w:r>
      <w:r w:rsidR="005422D1" w:rsidRPr="00F30614">
        <w:rPr>
          <w:rFonts w:ascii="PT Astra Serif" w:hAnsi="PT Astra Serif"/>
          <w:sz w:val="24"/>
          <w:szCs w:val="24"/>
        </w:rPr>
        <w:t xml:space="preserve"> </w:t>
      </w:r>
      <w:r w:rsidR="00596C76" w:rsidRPr="00F30614">
        <w:rPr>
          <w:rFonts w:ascii="PT Astra Serif" w:hAnsi="PT Astra Serif"/>
          <w:sz w:val="24"/>
          <w:szCs w:val="24"/>
        </w:rPr>
        <w:t xml:space="preserve">Внести </w:t>
      </w:r>
      <w:r w:rsidR="005D4361" w:rsidRPr="00F30614">
        <w:rPr>
          <w:rFonts w:ascii="PT Astra Serif" w:hAnsi="PT Astra Serif"/>
          <w:sz w:val="24"/>
          <w:szCs w:val="24"/>
        </w:rPr>
        <w:t xml:space="preserve">в </w:t>
      </w:r>
      <w:r w:rsidR="00F30614">
        <w:rPr>
          <w:rFonts w:ascii="PT Astra Serif" w:hAnsi="PT Astra Serif" w:cs="Arial"/>
          <w:sz w:val="24"/>
          <w:szCs w:val="24"/>
        </w:rPr>
        <w:t>р</w:t>
      </w:r>
      <w:r w:rsidR="00F30614" w:rsidRPr="00F30614">
        <w:rPr>
          <w:rFonts w:ascii="PT Astra Serif" w:hAnsi="PT Astra Serif" w:cs="Arial"/>
          <w:sz w:val="24"/>
          <w:szCs w:val="24"/>
        </w:rPr>
        <w:t>ешение Тульской городской Думы от 22</w:t>
      </w:r>
      <w:r w:rsidR="00F30614">
        <w:rPr>
          <w:rFonts w:ascii="PT Astra Serif" w:hAnsi="PT Astra Serif" w:cs="Arial"/>
          <w:sz w:val="24"/>
          <w:szCs w:val="24"/>
        </w:rPr>
        <w:t xml:space="preserve"> апреля </w:t>
      </w:r>
      <w:r w:rsidR="00F30614" w:rsidRPr="00F30614">
        <w:rPr>
          <w:rFonts w:ascii="PT Astra Serif" w:hAnsi="PT Astra Serif" w:cs="Arial"/>
          <w:sz w:val="24"/>
          <w:szCs w:val="24"/>
        </w:rPr>
        <w:t xml:space="preserve">2015 </w:t>
      </w:r>
      <w:r w:rsidR="00F30614">
        <w:rPr>
          <w:rFonts w:ascii="PT Astra Serif" w:hAnsi="PT Astra Serif" w:cs="Arial"/>
          <w:sz w:val="24"/>
          <w:szCs w:val="24"/>
        </w:rPr>
        <w:t>г. №</w:t>
      </w:r>
      <w:r w:rsidR="00F30614" w:rsidRPr="00F30614">
        <w:rPr>
          <w:rFonts w:ascii="PT Astra Serif" w:hAnsi="PT Astra Serif" w:cs="Arial"/>
          <w:sz w:val="24"/>
          <w:szCs w:val="24"/>
        </w:rPr>
        <w:t xml:space="preserve"> 11/266</w:t>
      </w:r>
      <w:r w:rsidR="00F30614">
        <w:rPr>
          <w:rFonts w:ascii="PT Astra Serif" w:hAnsi="PT Astra Serif" w:cs="Arial"/>
          <w:sz w:val="24"/>
          <w:szCs w:val="24"/>
        </w:rPr>
        <w:t xml:space="preserve"> «</w:t>
      </w:r>
      <w:r w:rsidR="00F30614" w:rsidRPr="00F30614">
        <w:rPr>
          <w:rFonts w:ascii="PT Astra Serif" w:hAnsi="PT Astra Serif" w:cs="Arial"/>
          <w:sz w:val="24"/>
          <w:szCs w:val="24"/>
        </w:rPr>
        <w:t>Об организации платных городских парковок в муниципальном образовании город Тула</w:t>
      </w:r>
      <w:r w:rsidR="00F30614">
        <w:rPr>
          <w:rFonts w:ascii="PT Astra Serif" w:hAnsi="PT Astra Serif" w:cs="Arial"/>
          <w:sz w:val="24"/>
          <w:szCs w:val="24"/>
        </w:rPr>
        <w:t xml:space="preserve">» </w:t>
      </w:r>
      <w:r w:rsidR="006C1A26" w:rsidRPr="00F30614">
        <w:rPr>
          <w:rFonts w:ascii="PT Astra Serif" w:hAnsi="PT Astra Serif" w:cs="Arial"/>
          <w:sz w:val="24"/>
          <w:szCs w:val="24"/>
        </w:rPr>
        <w:t>следующие изменения:</w:t>
      </w:r>
    </w:p>
    <w:p w:rsidR="00F30614" w:rsidRDefault="002F350F" w:rsidP="0052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25491">
        <w:rPr>
          <w:rFonts w:ascii="PT Astra Serif" w:hAnsi="PT Astra Serif"/>
          <w:sz w:val="24"/>
          <w:szCs w:val="24"/>
        </w:rPr>
        <w:t xml:space="preserve">1) </w:t>
      </w:r>
      <w:r w:rsidR="00F30614">
        <w:rPr>
          <w:rFonts w:ascii="PT Astra Serif" w:hAnsi="PT Astra Serif"/>
          <w:sz w:val="24"/>
          <w:szCs w:val="24"/>
        </w:rPr>
        <w:t xml:space="preserve">подпункт 3.2 </w:t>
      </w:r>
      <w:r w:rsidR="00E06504">
        <w:rPr>
          <w:rFonts w:ascii="PT Astra Serif" w:hAnsi="PT Astra Serif"/>
          <w:sz w:val="24"/>
          <w:szCs w:val="24"/>
        </w:rPr>
        <w:t xml:space="preserve">пункта 3 </w:t>
      </w:r>
      <w:r w:rsidR="00F30614">
        <w:rPr>
          <w:rFonts w:ascii="PT Astra Serif" w:hAnsi="PT Astra Serif"/>
          <w:sz w:val="24"/>
          <w:szCs w:val="24"/>
        </w:rPr>
        <w:t>изложить в следующей редакции:</w:t>
      </w:r>
    </w:p>
    <w:p w:rsidR="00E06504" w:rsidRPr="00E06504" w:rsidRDefault="00F30614" w:rsidP="0052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06504">
        <w:rPr>
          <w:rFonts w:ascii="PT Astra Serif" w:hAnsi="PT Astra Serif"/>
          <w:sz w:val="24"/>
          <w:szCs w:val="24"/>
        </w:rPr>
        <w:t>«</w:t>
      </w:r>
      <w:r w:rsidR="00E06504" w:rsidRPr="00E06504">
        <w:rPr>
          <w:rFonts w:ascii="PT Astra Serif" w:hAnsi="PT Astra Serif" w:cs="Arial"/>
          <w:sz w:val="24"/>
          <w:szCs w:val="24"/>
        </w:rPr>
        <w:t>3.2. Транспортное средство инвалидов Великой Отечественной войны, ветеранов Великой Отечественной войны, бывших несовершеннолетних узников концлагерей и других мест принудительного содержания, созданных фашистами и их союзниками в период Второй мировой войны, иных лиц, перевозящих инвалидов или участников Великой Отечественной войны, а также ветеранов (инвалидов) боевых действий, родителей погибшего (умершего) ветерана (инвалида) боевых действий при наличии парковочного разрешения.</w:t>
      </w:r>
    </w:p>
    <w:p w:rsidR="00B62AED" w:rsidRPr="00E06504" w:rsidRDefault="00E06504" w:rsidP="0052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E06504">
        <w:rPr>
          <w:rFonts w:ascii="PT Astra Serif" w:hAnsi="PT Astra Serif" w:cs="Arial"/>
          <w:sz w:val="24"/>
          <w:szCs w:val="24"/>
        </w:rPr>
        <w:t>Льгота предоставляется на одно принадлежащее данным лицам транспортное средство.</w:t>
      </w:r>
      <w:r w:rsidR="00B62AED" w:rsidRPr="00E06504">
        <w:rPr>
          <w:rFonts w:ascii="PT Astra Serif" w:hAnsi="PT Astra Serif" w:cs="Arial"/>
          <w:sz w:val="24"/>
          <w:szCs w:val="24"/>
        </w:rPr>
        <w:t>»;</w:t>
      </w:r>
    </w:p>
    <w:p w:rsidR="00E06504" w:rsidRDefault="00E06504" w:rsidP="0052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2) абзац третий пункта 3-3 исключить;</w:t>
      </w:r>
    </w:p>
    <w:p w:rsidR="00E06504" w:rsidRDefault="00E06504" w:rsidP="0052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3) дополнить пунктом 3-4 следующего содержания:</w:t>
      </w:r>
    </w:p>
    <w:p w:rsidR="00E06504" w:rsidRDefault="00E06504" w:rsidP="00527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C5C0C">
        <w:rPr>
          <w:rFonts w:ascii="PT Astra Serif" w:hAnsi="PT Astra Serif" w:cs="Arial"/>
          <w:sz w:val="24"/>
          <w:szCs w:val="24"/>
        </w:rPr>
        <w:t xml:space="preserve">«3-4. </w:t>
      </w:r>
      <w:r w:rsidR="003B57BD" w:rsidRPr="00966E14">
        <w:rPr>
          <w:rFonts w:ascii="PT Astra Serif" w:hAnsi="PT Astra Serif" w:cs="Arial"/>
          <w:sz w:val="24"/>
          <w:szCs w:val="24"/>
        </w:rPr>
        <w:t>Граждан</w:t>
      </w:r>
      <w:r w:rsidR="003B57BD">
        <w:rPr>
          <w:rFonts w:ascii="PT Astra Serif" w:hAnsi="PT Astra Serif" w:cs="Arial"/>
          <w:sz w:val="24"/>
          <w:szCs w:val="24"/>
        </w:rPr>
        <w:t>е</w:t>
      </w:r>
      <w:r w:rsidR="003B57BD" w:rsidRPr="00966E14">
        <w:rPr>
          <w:rFonts w:ascii="PT Astra Serif" w:hAnsi="PT Astra Serif" w:cs="Arial"/>
          <w:sz w:val="24"/>
          <w:szCs w:val="24"/>
        </w:rPr>
        <w:t>, проходящи</w:t>
      </w:r>
      <w:r w:rsidR="003B57BD">
        <w:rPr>
          <w:rFonts w:ascii="PT Astra Serif" w:hAnsi="PT Astra Serif" w:cs="Arial"/>
          <w:sz w:val="24"/>
          <w:szCs w:val="24"/>
        </w:rPr>
        <w:t>е</w:t>
      </w:r>
      <w:r w:rsidR="003B57BD" w:rsidRPr="00966E14">
        <w:rPr>
          <w:rFonts w:ascii="PT Astra Serif" w:hAnsi="PT Astra Serif" w:cs="Arial"/>
          <w:sz w:val="24"/>
          <w:szCs w:val="24"/>
        </w:rPr>
        <w:t xml:space="preserve"> (проходивши</w:t>
      </w:r>
      <w:r w:rsidR="003B57BD">
        <w:rPr>
          <w:rFonts w:ascii="PT Astra Serif" w:hAnsi="PT Astra Serif" w:cs="Arial"/>
          <w:sz w:val="24"/>
          <w:szCs w:val="24"/>
        </w:rPr>
        <w:t>е</w:t>
      </w:r>
      <w:r w:rsidR="003B57BD" w:rsidRPr="00966E14">
        <w:rPr>
          <w:rFonts w:ascii="PT Astra Serif" w:hAnsi="PT Astra Serif" w:cs="Arial"/>
          <w:sz w:val="24"/>
          <w:szCs w:val="24"/>
        </w:rPr>
        <w:t>) военную службу по контракту (в том числе военнослужащи</w:t>
      </w:r>
      <w:r w:rsidR="003B57BD">
        <w:rPr>
          <w:rFonts w:ascii="PT Astra Serif" w:hAnsi="PT Astra Serif" w:cs="Arial"/>
          <w:sz w:val="24"/>
          <w:szCs w:val="24"/>
        </w:rPr>
        <w:t>е</w:t>
      </w:r>
      <w:r w:rsidR="003B57BD" w:rsidRPr="00966E14">
        <w:rPr>
          <w:rFonts w:ascii="PT Astra Serif" w:hAnsi="PT Astra Serif" w:cs="Arial"/>
          <w:sz w:val="24"/>
          <w:szCs w:val="24"/>
        </w:rPr>
        <w:t>, лиц</w:t>
      </w:r>
      <w:r w:rsidR="003B57BD">
        <w:rPr>
          <w:rFonts w:ascii="PT Astra Serif" w:hAnsi="PT Astra Serif" w:cs="Arial"/>
          <w:sz w:val="24"/>
          <w:szCs w:val="24"/>
        </w:rPr>
        <w:t>а</w:t>
      </w:r>
      <w:r w:rsidR="003B57BD" w:rsidRPr="00966E14">
        <w:rPr>
          <w:rFonts w:ascii="PT Astra Serif" w:hAnsi="PT Astra Serif" w:cs="Arial"/>
          <w:sz w:val="24"/>
          <w:szCs w:val="24"/>
        </w:rPr>
        <w:t>, проходящи</w:t>
      </w:r>
      <w:r w:rsidR="003B57BD">
        <w:rPr>
          <w:rFonts w:ascii="PT Astra Serif" w:hAnsi="PT Astra Serif" w:cs="Arial"/>
          <w:sz w:val="24"/>
          <w:szCs w:val="24"/>
        </w:rPr>
        <w:t>е</w:t>
      </w:r>
      <w:r w:rsidR="003B57BD" w:rsidRPr="00966E14">
        <w:rPr>
          <w:rFonts w:ascii="PT Astra Serif" w:hAnsi="PT Astra Serif" w:cs="Arial"/>
          <w:sz w:val="24"/>
          <w:szCs w:val="24"/>
        </w:rPr>
        <w:t xml:space="preserve"> службу в войсках национальной гвардии Российской Федерации и имеющи</w:t>
      </w:r>
      <w:r w:rsidR="003B57BD">
        <w:rPr>
          <w:rFonts w:ascii="PT Astra Serif" w:hAnsi="PT Astra Serif" w:cs="Arial"/>
          <w:sz w:val="24"/>
          <w:szCs w:val="24"/>
        </w:rPr>
        <w:t>е</w:t>
      </w:r>
      <w:r w:rsidR="003B57BD" w:rsidRPr="00966E14">
        <w:rPr>
          <w:rFonts w:ascii="PT Astra Serif" w:hAnsi="PT Astra Serif" w:cs="Arial"/>
          <w:sz w:val="24"/>
          <w:szCs w:val="24"/>
        </w:rPr>
        <w:t xml:space="preserve"> специальное звание полиции) либо заключивши</w:t>
      </w:r>
      <w:r w:rsidR="003B57BD">
        <w:rPr>
          <w:rFonts w:ascii="PT Astra Serif" w:hAnsi="PT Astra Serif" w:cs="Arial"/>
          <w:sz w:val="24"/>
          <w:szCs w:val="24"/>
        </w:rPr>
        <w:t>е</w:t>
      </w:r>
      <w:r w:rsidR="003B57BD" w:rsidRPr="00966E14">
        <w:rPr>
          <w:rFonts w:ascii="PT Astra Serif" w:hAnsi="PT Astra Serif" w:cs="Arial"/>
          <w:sz w:val="24"/>
          <w:szCs w:val="24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принимающи</w:t>
      </w:r>
      <w:r w:rsidR="003B57BD">
        <w:rPr>
          <w:rFonts w:ascii="PT Astra Serif" w:hAnsi="PT Astra Serif" w:cs="Arial"/>
          <w:sz w:val="24"/>
          <w:szCs w:val="24"/>
        </w:rPr>
        <w:t>е</w:t>
      </w:r>
      <w:r w:rsidR="003B57BD" w:rsidRPr="00966E14">
        <w:rPr>
          <w:rFonts w:ascii="PT Astra Serif" w:hAnsi="PT Astra Serif" w:cs="Arial"/>
          <w:sz w:val="24"/>
          <w:szCs w:val="24"/>
        </w:rPr>
        <w:t xml:space="preserve"> (принимавши</w:t>
      </w:r>
      <w:r w:rsidR="003B57BD">
        <w:rPr>
          <w:rFonts w:ascii="PT Astra Serif" w:hAnsi="PT Astra Serif" w:cs="Arial"/>
          <w:sz w:val="24"/>
          <w:szCs w:val="24"/>
        </w:rPr>
        <w:t>е</w:t>
      </w:r>
      <w:r w:rsidR="003B57BD" w:rsidRPr="00966E14">
        <w:rPr>
          <w:rFonts w:ascii="PT Astra Serif" w:hAnsi="PT Astra Serif" w:cs="Arial"/>
          <w:sz w:val="24"/>
          <w:szCs w:val="24"/>
        </w:rPr>
        <w:t>) участие в специальной военной операции, проводимой с 24 февраля 2022 года, сотрудник</w:t>
      </w:r>
      <w:r w:rsidR="003B57BD">
        <w:rPr>
          <w:rFonts w:ascii="PT Astra Serif" w:hAnsi="PT Astra Serif" w:cs="Arial"/>
          <w:sz w:val="24"/>
          <w:szCs w:val="24"/>
        </w:rPr>
        <w:t>и</w:t>
      </w:r>
      <w:r w:rsidR="003B57BD" w:rsidRPr="00966E14">
        <w:rPr>
          <w:rFonts w:ascii="PT Astra Serif" w:hAnsi="PT Astra Serif" w:cs="Arial"/>
          <w:sz w:val="24"/>
          <w:szCs w:val="24"/>
        </w:rPr>
        <w:t xml:space="preserve"> (служащи</w:t>
      </w:r>
      <w:r w:rsidR="003B57BD">
        <w:rPr>
          <w:rFonts w:ascii="PT Astra Serif" w:hAnsi="PT Astra Serif" w:cs="Arial"/>
          <w:sz w:val="24"/>
          <w:szCs w:val="24"/>
        </w:rPr>
        <w:t>е</w:t>
      </w:r>
      <w:r w:rsidR="003B57BD" w:rsidRPr="00966E14">
        <w:rPr>
          <w:rFonts w:ascii="PT Astra Serif" w:hAnsi="PT Astra Serif" w:cs="Arial"/>
          <w:sz w:val="24"/>
          <w:szCs w:val="24"/>
        </w:rPr>
        <w:t>, работник</w:t>
      </w:r>
      <w:r w:rsidR="003B57BD">
        <w:rPr>
          <w:rFonts w:ascii="PT Astra Serif" w:hAnsi="PT Astra Serif" w:cs="Arial"/>
          <w:sz w:val="24"/>
          <w:szCs w:val="24"/>
        </w:rPr>
        <w:t>и</w:t>
      </w:r>
      <w:r w:rsidR="003B57BD" w:rsidRPr="00966E14">
        <w:rPr>
          <w:rFonts w:ascii="PT Astra Serif" w:hAnsi="PT Astra Serif" w:cs="Arial"/>
          <w:sz w:val="24"/>
          <w:szCs w:val="24"/>
        </w:rPr>
        <w:t xml:space="preserve">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</w:t>
      </w:r>
      <w:r w:rsidR="003B57BD" w:rsidRPr="00966E14">
        <w:rPr>
          <w:rFonts w:ascii="PT Astra Serif" w:hAnsi="PT Astra Serif" w:cs="Arial"/>
          <w:sz w:val="24"/>
          <w:szCs w:val="24"/>
        </w:rPr>
        <w:lastRenderedPageBreak/>
        <w:t>Луганской Народной Республики, Запорожской области и Херсонской области, или призванных на военную службу по мобилизации</w:t>
      </w:r>
      <w:r w:rsidR="003B57BD">
        <w:rPr>
          <w:rFonts w:ascii="PT Astra Serif" w:hAnsi="PT Astra Serif" w:cs="Arial"/>
          <w:sz w:val="24"/>
          <w:szCs w:val="24"/>
        </w:rPr>
        <w:t xml:space="preserve"> (далее – участники СВО) и члены их семей, указанные в Указе </w:t>
      </w:r>
      <w:r w:rsidR="007C5C0C" w:rsidRPr="007C5C0C">
        <w:rPr>
          <w:rFonts w:ascii="PT Astra Serif" w:hAnsi="PT Astra Serif" w:cs="Arial"/>
          <w:sz w:val="24"/>
          <w:szCs w:val="24"/>
        </w:rPr>
        <w:t>Губернатора Тульской области от 12 октября 2022 г. № 105 «О предоставлении дополнительных мер социальной поддержки отдельным категориям граждан»</w:t>
      </w:r>
      <w:r w:rsidR="003B57BD">
        <w:rPr>
          <w:rFonts w:ascii="PT Astra Serif" w:hAnsi="PT Astra Serif" w:cs="Arial"/>
          <w:sz w:val="24"/>
          <w:szCs w:val="24"/>
        </w:rPr>
        <w:t>,</w:t>
      </w:r>
      <w:r w:rsidR="007C5C0C" w:rsidRPr="007C5C0C">
        <w:rPr>
          <w:rFonts w:ascii="PT Astra Serif" w:hAnsi="PT Astra Serif" w:cs="Arial"/>
          <w:sz w:val="24"/>
          <w:szCs w:val="24"/>
        </w:rPr>
        <w:t xml:space="preserve"> </w:t>
      </w:r>
      <w:r w:rsidRPr="007C5C0C">
        <w:rPr>
          <w:rFonts w:ascii="PT Astra Serif" w:hAnsi="PT Astra Serif" w:cs="Arial"/>
          <w:sz w:val="24"/>
          <w:szCs w:val="24"/>
        </w:rPr>
        <w:t>польз</w:t>
      </w:r>
      <w:r w:rsidR="007C5C0C" w:rsidRPr="007C5C0C">
        <w:rPr>
          <w:rFonts w:ascii="PT Astra Serif" w:hAnsi="PT Astra Serif" w:cs="Arial"/>
          <w:sz w:val="24"/>
          <w:szCs w:val="24"/>
        </w:rPr>
        <w:t>уются</w:t>
      </w:r>
      <w:r w:rsidRPr="007C5C0C">
        <w:rPr>
          <w:rFonts w:ascii="PT Astra Serif" w:hAnsi="PT Astra Serif" w:cs="Arial"/>
          <w:sz w:val="24"/>
          <w:szCs w:val="24"/>
        </w:rPr>
        <w:t xml:space="preserve"> платными городскими парковками в следующем порядке</w:t>
      </w:r>
      <w:r w:rsidR="007C5C0C">
        <w:rPr>
          <w:rFonts w:ascii="PT Astra Serif" w:hAnsi="PT Astra Serif" w:cs="Arial"/>
          <w:sz w:val="24"/>
          <w:szCs w:val="24"/>
        </w:rPr>
        <w:t>:</w:t>
      </w:r>
    </w:p>
    <w:p w:rsidR="005048D6" w:rsidRPr="00FF22E6" w:rsidRDefault="007C5C0C" w:rsidP="0050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66E14">
        <w:rPr>
          <w:rFonts w:ascii="PT Astra Serif" w:hAnsi="PT Astra Serif" w:cs="Arial"/>
          <w:sz w:val="24"/>
          <w:szCs w:val="24"/>
        </w:rPr>
        <w:t xml:space="preserve">3-4.1. Транспортные средства </w:t>
      </w:r>
      <w:r w:rsidR="003B57BD">
        <w:rPr>
          <w:rFonts w:ascii="PT Astra Serif" w:hAnsi="PT Astra Serif" w:cs="Arial"/>
          <w:sz w:val="24"/>
          <w:szCs w:val="24"/>
        </w:rPr>
        <w:t xml:space="preserve">участников СВО, </w:t>
      </w:r>
      <w:r w:rsidR="003B57BD" w:rsidRPr="00966E14">
        <w:rPr>
          <w:rFonts w:ascii="PT Astra Serif" w:hAnsi="PT Astra Serif" w:cs="Arial"/>
          <w:sz w:val="24"/>
          <w:szCs w:val="24"/>
        </w:rPr>
        <w:t>их несовершеннолетних детей</w:t>
      </w:r>
      <w:r w:rsidR="00BE0EB9">
        <w:rPr>
          <w:rFonts w:ascii="PT Astra Serif" w:hAnsi="PT Astra Serif" w:cs="Arial"/>
          <w:sz w:val="24"/>
          <w:szCs w:val="24"/>
        </w:rPr>
        <w:t>,</w:t>
      </w:r>
      <w:r w:rsidR="003B57BD">
        <w:rPr>
          <w:rFonts w:ascii="PT Astra Serif" w:hAnsi="PT Astra Serif" w:cs="Arial"/>
          <w:sz w:val="24"/>
          <w:szCs w:val="24"/>
        </w:rPr>
        <w:t xml:space="preserve"> родителей</w:t>
      </w:r>
      <w:r w:rsidR="003B57BD" w:rsidRPr="00966E14">
        <w:rPr>
          <w:rFonts w:ascii="PT Astra Serif" w:hAnsi="PT Astra Serif" w:cs="Arial"/>
          <w:sz w:val="24"/>
          <w:szCs w:val="24"/>
        </w:rPr>
        <w:t xml:space="preserve"> </w:t>
      </w:r>
      <w:r w:rsidRPr="00966E14">
        <w:rPr>
          <w:rFonts w:ascii="PT Astra Serif" w:hAnsi="PT Astra Serif" w:cs="Arial"/>
          <w:sz w:val="24"/>
          <w:szCs w:val="24"/>
        </w:rPr>
        <w:t>размещаются на платных городских парковках бесплатно при наличии парковочного разрешения.</w:t>
      </w:r>
      <w:r w:rsidR="005048D6">
        <w:rPr>
          <w:rFonts w:ascii="PT Astra Serif" w:hAnsi="PT Astra Serif" w:cs="Arial"/>
          <w:sz w:val="24"/>
          <w:szCs w:val="24"/>
        </w:rPr>
        <w:t xml:space="preserve"> </w:t>
      </w:r>
    </w:p>
    <w:p w:rsidR="00747FC3" w:rsidRDefault="00966E14" w:rsidP="00FF2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66E14">
        <w:rPr>
          <w:rFonts w:ascii="PT Astra Serif" w:hAnsi="PT Astra Serif" w:cs="Arial"/>
          <w:sz w:val="24"/>
          <w:szCs w:val="24"/>
        </w:rPr>
        <w:t xml:space="preserve">Супруге (супругу) </w:t>
      </w:r>
      <w:r w:rsidR="00937AD7">
        <w:rPr>
          <w:rFonts w:ascii="PT Astra Serif" w:hAnsi="PT Astra Serif" w:cs="Arial"/>
          <w:sz w:val="24"/>
          <w:szCs w:val="24"/>
        </w:rPr>
        <w:t>участников СВО</w:t>
      </w:r>
      <w:r w:rsidRPr="00966E14">
        <w:rPr>
          <w:rFonts w:ascii="PT Astra Serif" w:hAnsi="PT Astra Serif" w:cs="Arial"/>
          <w:sz w:val="24"/>
          <w:szCs w:val="24"/>
        </w:rPr>
        <w:t>, их детям старше 18 лет, обучающимся в образовательных организациях по очной форме обучения - до окончания обучения, но не более чем до достижения ими возраста 2</w:t>
      </w:r>
      <w:r w:rsidR="003B57BD">
        <w:rPr>
          <w:rFonts w:ascii="PT Astra Serif" w:hAnsi="PT Astra Serif" w:cs="Arial"/>
          <w:sz w:val="24"/>
          <w:szCs w:val="24"/>
        </w:rPr>
        <w:t>3</w:t>
      </w:r>
      <w:r w:rsidRPr="00966E14">
        <w:rPr>
          <w:rFonts w:ascii="PT Astra Serif" w:hAnsi="PT Astra Serif" w:cs="Arial"/>
          <w:sz w:val="24"/>
          <w:szCs w:val="24"/>
        </w:rPr>
        <w:t xml:space="preserve"> лет, предоставляются льготы в размере 100% по оплате абонементов на право пользования на платной основе городскими платными парковками.</w:t>
      </w:r>
      <w:r w:rsidR="005048D6">
        <w:rPr>
          <w:rFonts w:ascii="PT Astra Serif" w:hAnsi="PT Astra Serif" w:cs="Arial"/>
          <w:sz w:val="24"/>
          <w:szCs w:val="24"/>
        </w:rPr>
        <w:t xml:space="preserve"> </w:t>
      </w:r>
    </w:p>
    <w:p w:rsidR="00747FC3" w:rsidRPr="00FF22E6" w:rsidRDefault="00747FC3" w:rsidP="00747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Льгота предоставляется на одно транспортное средство, принадлежащее участнику СВО, и на одно транспортное средство, принадлежащее </w:t>
      </w:r>
      <w:r w:rsidR="00675E7A">
        <w:rPr>
          <w:rFonts w:ascii="PT Astra Serif" w:hAnsi="PT Astra Serif" w:cs="Arial"/>
          <w:sz w:val="24"/>
          <w:szCs w:val="24"/>
        </w:rPr>
        <w:t xml:space="preserve">одному из </w:t>
      </w:r>
      <w:r>
        <w:rPr>
          <w:rFonts w:ascii="PT Astra Serif" w:hAnsi="PT Astra Serif" w:cs="Arial"/>
          <w:sz w:val="24"/>
          <w:szCs w:val="24"/>
        </w:rPr>
        <w:t>член</w:t>
      </w:r>
      <w:r w:rsidR="00675E7A">
        <w:rPr>
          <w:rFonts w:ascii="PT Astra Serif" w:hAnsi="PT Astra Serif" w:cs="Arial"/>
          <w:sz w:val="24"/>
          <w:szCs w:val="24"/>
        </w:rPr>
        <w:t xml:space="preserve">ов </w:t>
      </w:r>
      <w:r>
        <w:rPr>
          <w:rFonts w:ascii="PT Astra Serif" w:hAnsi="PT Astra Serif" w:cs="Arial"/>
          <w:sz w:val="24"/>
          <w:szCs w:val="24"/>
        </w:rPr>
        <w:t xml:space="preserve">семьи участника СВО, указанным в настоящем </w:t>
      </w:r>
      <w:r w:rsidR="00675E7A">
        <w:rPr>
          <w:rFonts w:ascii="PT Astra Serif" w:hAnsi="PT Astra Serif" w:cs="Arial"/>
          <w:sz w:val="24"/>
          <w:szCs w:val="24"/>
        </w:rPr>
        <w:t>под</w:t>
      </w:r>
      <w:r>
        <w:rPr>
          <w:rFonts w:ascii="PT Astra Serif" w:hAnsi="PT Astra Serif" w:cs="Arial"/>
          <w:sz w:val="24"/>
          <w:szCs w:val="24"/>
        </w:rPr>
        <w:t>пункте.</w:t>
      </w:r>
    </w:p>
    <w:p w:rsidR="00FF22E6" w:rsidRPr="00FF22E6" w:rsidRDefault="00966E14" w:rsidP="00FF22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37AD7">
        <w:rPr>
          <w:rFonts w:ascii="PT Astra Serif" w:hAnsi="PT Astra Serif" w:cs="Arial"/>
          <w:sz w:val="24"/>
          <w:szCs w:val="24"/>
        </w:rPr>
        <w:t>3-4.2. Транспортные средства</w:t>
      </w:r>
      <w:r w:rsidR="00FF22E6">
        <w:rPr>
          <w:rFonts w:ascii="PT Astra Serif" w:hAnsi="PT Astra Serif" w:cs="Arial"/>
          <w:sz w:val="24"/>
          <w:szCs w:val="24"/>
        </w:rPr>
        <w:t>, зарегистрированные на</w:t>
      </w:r>
      <w:r w:rsidRPr="00937AD7">
        <w:rPr>
          <w:rFonts w:ascii="PT Astra Serif" w:hAnsi="PT Astra Serif" w:cs="Arial"/>
          <w:sz w:val="24"/>
          <w:szCs w:val="24"/>
        </w:rPr>
        <w:t xml:space="preserve"> родителей погибших (умерших) </w:t>
      </w:r>
      <w:r w:rsidR="00937AD7">
        <w:rPr>
          <w:rFonts w:ascii="PT Astra Serif" w:hAnsi="PT Astra Serif" w:cs="Arial"/>
          <w:sz w:val="24"/>
          <w:szCs w:val="24"/>
        </w:rPr>
        <w:t xml:space="preserve">участников СВО, </w:t>
      </w:r>
      <w:r w:rsidRPr="00966E14">
        <w:rPr>
          <w:rFonts w:ascii="PT Astra Serif" w:hAnsi="PT Astra Serif" w:cs="Arial"/>
          <w:sz w:val="24"/>
          <w:szCs w:val="24"/>
        </w:rPr>
        <w:t>их несовершеннолетних детей размещаются на платных городских парковках бесплатно при наличии парковочного разрешения.</w:t>
      </w:r>
      <w:r w:rsidR="00FF22E6">
        <w:rPr>
          <w:rFonts w:ascii="PT Astra Serif" w:hAnsi="PT Astra Serif" w:cs="Arial"/>
          <w:sz w:val="24"/>
          <w:szCs w:val="24"/>
        </w:rPr>
        <w:t xml:space="preserve"> </w:t>
      </w:r>
      <w:r w:rsidR="00FF22E6" w:rsidRPr="00FF22E6">
        <w:rPr>
          <w:rFonts w:ascii="PT Astra Serif" w:hAnsi="PT Astra Serif" w:cs="Arial"/>
          <w:sz w:val="24"/>
          <w:szCs w:val="24"/>
        </w:rPr>
        <w:t>Льгота предоставляется на одно принадлежащее данным лицам транспортное средство.</w:t>
      </w:r>
    </w:p>
    <w:p w:rsidR="00937AD7" w:rsidRPr="00FF22E6" w:rsidRDefault="00937AD7" w:rsidP="00937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F22E6">
        <w:rPr>
          <w:rFonts w:ascii="PT Astra Serif" w:hAnsi="PT Astra Serif" w:cs="Arial"/>
          <w:sz w:val="24"/>
          <w:szCs w:val="24"/>
        </w:rPr>
        <w:t>Супруге (супругу), не вступившим в повторный брак, погибших (умерших) участников СВО, их детям старше 18 лет, обучающимся в образовательных организациях по очной форме обучения - до окончания обучения, но не более чем до достижения ими возраста 2</w:t>
      </w:r>
      <w:r w:rsidR="003B57BD">
        <w:rPr>
          <w:rFonts w:ascii="PT Astra Serif" w:hAnsi="PT Astra Serif" w:cs="Arial"/>
          <w:sz w:val="24"/>
          <w:szCs w:val="24"/>
        </w:rPr>
        <w:t>3</w:t>
      </w:r>
      <w:r w:rsidRPr="00FF22E6">
        <w:rPr>
          <w:rFonts w:ascii="PT Astra Serif" w:hAnsi="PT Astra Serif" w:cs="Arial"/>
          <w:sz w:val="24"/>
          <w:szCs w:val="24"/>
        </w:rPr>
        <w:t xml:space="preserve"> лет, предоставляются льготы в размере 100% по оплате абонементов на право пользования на платной основе городскими платными парковками.</w:t>
      </w:r>
      <w:r w:rsidR="00FF22E6" w:rsidRPr="00FF22E6">
        <w:rPr>
          <w:rFonts w:ascii="PT Astra Serif" w:hAnsi="PT Astra Serif" w:cs="Arial"/>
          <w:sz w:val="24"/>
          <w:szCs w:val="24"/>
        </w:rPr>
        <w:t xml:space="preserve"> </w:t>
      </w:r>
      <w:r w:rsidR="00BE0EB9" w:rsidRPr="00BE0EB9">
        <w:rPr>
          <w:rFonts w:ascii="PT Astra Serif" w:hAnsi="PT Astra Serif" w:cs="Arial"/>
          <w:sz w:val="24"/>
          <w:szCs w:val="24"/>
        </w:rPr>
        <w:t xml:space="preserve">Льгота в размере 100 % по оплате абонементов </w:t>
      </w:r>
      <w:r w:rsidR="00BE0EB9">
        <w:rPr>
          <w:rFonts w:ascii="PT Astra Serif" w:hAnsi="PT Astra Serif" w:cs="Arial"/>
          <w:sz w:val="24"/>
          <w:szCs w:val="24"/>
        </w:rPr>
        <w:t>предоставляется</w:t>
      </w:r>
      <w:r w:rsidR="00BE0EB9" w:rsidRPr="00BE0EB9">
        <w:rPr>
          <w:rFonts w:ascii="PT Astra Serif" w:hAnsi="PT Astra Serif" w:cs="Arial"/>
          <w:sz w:val="24"/>
          <w:szCs w:val="24"/>
        </w:rPr>
        <w:t xml:space="preserve"> на </w:t>
      </w:r>
      <w:proofErr w:type="gramStart"/>
      <w:r w:rsidR="00BE0EB9" w:rsidRPr="00BE0EB9">
        <w:rPr>
          <w:rFonts w:ascii="PT Astra Serif" w:hAnsi="PT Astra Serif" w:cs="Arial"/>
          <w:sz w:val="24"/>
          <w:szCs w:val="24"/>
        </w:rPr>
        <w:t>одно  транспортное</w:t>
      </w:r>
      <w:proofErr w:type="gramEnd"/>
      <w:r w:rsidR="00BE0EB9" w:rsidRPr="00BE0EB9">
        <w:rPr>
          <w:rFonts w:ascii="PT Astra Serif" w:hAnsi="PT Astra Serif" w:cs="Arial"/>
          <w:sz w:val="24"/>
          <w:szCs w:val="24"/>
        </w:rPr>
        <w:t xml:space="preserve"> средство, принадлежащее одн</w:t>
      </w:r>
      <w:r w:rsidR="00BE0EB9">
        <w:rPr>
          <w:rFonts w:ascii="PT Astra Serif" w:hAnsi="PT Astra Serif" w:cs="Arial"/>
          <w:sz w:val="24"/>
          <w:szCs w:val="24"/>
        </w:rPr>
        <w:t>о</w:t>
      </w:r>
      <w:r w:rsidR="00BE0EB9" w:rsidRPr="00BE0EB9">
        <w:rPr>
          <w:rFonts w:ascii="PT Astra Serif" w:hAnsi="PT Astra Serif" w:cs="Arial"/>
          <w:sz w:val="24"/>
          <w:szCs w:val="24"/>
        </w:rPr>
        <w:t>му из членов семьи погибшего (умершего) участника</w:t>
      </w:r>
      <w:r w:rsidR="00BE0EB9" w:rsidRPr="00FF22E6">
        <w:rPr>
          <w:rFonts w:ascii="PT Astra Serif" w:hAnsi="PT Astra Serif" w:cs="Arial"/>
          <w:sz w:val="24"/>
          <w:szCs w:val="24"/>
        </w:rPr>
        <w:t xml:space="preserve"> СВО</w:t>
      </w:r>
      <w:r w:rsidR="00BE0EB9">
        <w:rPr>
          <w:rFonts w:ascii="PT Astra Serif" w:hAnsi="PT Astra Serif" w:cs="Arial"/>
          <w:sz w:val="24"/>
          <w:szCs w:val="24"/>
        </w:rPr>
        <w:t>.</w:t>
      </w:r>
      <w:r w:rsidRPr="00FF22E6">
        <w:rPr>
          <w:rFonts w:ascii="PT Astra Serif" w:hAnsi="PT Astra Serif" w:cs="Arial"/>
          <w:sz w:val="24"/>
          <w:szCs w:val="24"/>
        </w:rPr>
        <w:t>».</w:t>
      </w:r>
    </w:p>
    <w:p w:rsidR="00641FF0" w:rsidRPr="00B11EE8" w:rsidRDefault="00F754E0" w:rsidP="00B11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0C24D9">
        <w:rPr>
          <w:rFonts w:ascii="PT Astra Serif" w:hAnsi="PT Astra Serif"/>
          <w:sz w:val="24"/>
          <w:szCs w:val="24"/>
        </w:rPr>
        <w:t>2</w:t>
      </w:r>
      <w:r w:rsidR="00641FF0" w:rsidRPr="000C24D9">
        <w:rPr>
          <w:rFonts w:ascii="PT Astra Serif" w:hAnsi="PT Astra Serif"/>
          <w:sz w:val="24"/>
          <w:szCs w:val="24"/>
        </w:rPr>
        <w:t>.</w:t>
      </w:r>
      <w:r w:rsidR="00641FF0" w:rsidRPr="000C24D9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0C24D9">
        <w:rPr>
          <w:rFonts w:ascii="PT Astra Serif" w:hAnsi="PT Astra Serif"/>
          <w:sz w:val="24"/>
          <w:szCs w:val="24"/>
        </w:rPr>
        <w:t xml:space="preserve"> </w:t>
      </w:r>
      <w:r w:rsidR="00641FF0" w:rsidRPr="000C24D9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</w:t>
      </w:r>
      <w:r w:rsidR="00641FF0" w:rsidRPr="00B11EE8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="00792712" w:rsidRPr="00B11EE8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0" w:history="1"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B11EE8">
        <w:rPr>
          <w:rFonts w:ascii="PT Astra Serif" w:hAnsi="PT Astra Serif"/>
          <w:sz w:val="24"/>
          <w:szCs w:val="24"/>
        </w:rPr>
        <w:t>.</w:t>
      </w:r>
    </w:p>
    <w:p w:rsidR="00344757" w:rsidRPr="00B11EE8" w:rsidRDefault="00D35033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3</w:t>
      </w:r>
      <w:r w:rsidR="00344757" w:rsidRPr="00B11EE8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4A6D" w:rsidRPr="00B11EE8" w:rsidRDefault="00D35033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4</w:t>
      </w:r>
      <w:r w:rsidR="00344757" w:rsidRPr="00B11EE8">
        <w:rPr>
          <w:rFonts w:ascii="PT Astra Serif" w:hAnsi="PT Astra Serif"/>
          <w:sz w:val="24"/>
          <w:szCs w:val="24"/>
        </w:rPr>
        <w:t>.</w:t>
      </w:r>
      <w:r w:rsidR="00344757" w:rsidRPr="00B11EE8">
        <w:rPr>
          <w:rFonts w:ascii="PT Astra Serif" w:hAnsi="PT Astra Serif"/>
          <w:sz w:val="24"/>
          <w:szCs w:val="24"/>
        </w:rPr>
        <w:tab/>
      </w:r>
      <w:r w:rsidR="00344757" w:rsidRPr="00B11EE8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BC3BF5">
        <w:rPr>
          <w:rFonts w:ascii="PT Astra Serif" w:hAnsi="PT Astra Serif"/>
          <w:sz w:val="24"/>
          <w:szCs w:val="24"/>
        </w:rPr>
        <w:t>.</w:t>
      </w:r>
      <w:r w:rsidR="00F754E0" w:rsidRPr="00B11EE8">
        <w:rPr>
          <w:rFonts w:ascii="PT Astra Serif" w:hAnsi="PT Astra Serif"/>
          <w:sz w:val="24"/>
          <w:szCs w:val="24"/>
        </w:rPr>
        <w:t xml:space="preserve"> </w:t>
      </w:r>
    </w:p>
    <w:p w:rsidR="005E4A6D" w:rsidRPr="00B11EE8" w:rsidRDefault="005E4A6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30614" w:rsidRDefault="00F30614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F30614" w:rsidRDefault="00F30614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F65FF" w:rsidRDefault="001F65FF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B11EE8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образования город Тула</w:t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B11EE8">
        <w:rPr>
          <w:rFonts w:ascii="PT Astra Serif" w:hAnsi="PT Astra Serif"/>
          <w:sz w:val="24"/>
          <w:szCs w:val="24"/>
        </w:rPr>
        <w:t>Эрк</w:t>
      </w:r>
      <w:proofErr w:type="spellEnd"/>
    </w:p>
    <w:p w:rsidR="00C26754" w:rsidRDefault="00C26754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C26754" w:rsidRDefault="00C26754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C26754" w:rsidRDefault="00C26754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C26754" w:rsidRDefault="00C26754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sectPr w:rsidR="00C26754" w:rsidSect="00315320">
      <w:headerReference w:type="default" r:id="rId11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FE" w:rsidRDefault="00054AFE" w:rsidP="001F65FF">
      <w:pPr>
        <w:spacing w:after="0" w:line="240" w:lineRule="auto"/>
      </w:pPr>
      <w:r>
        <w:separator/>
      </w:r>
    </w:p>
  </w:endnote>
  <w:endnote w:type="continuationSeparator" w:id="0">
    <w:p w:rsidR="00054AFE" w:rsidRDefault="00054AFE" w:rsidP="001F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FE" w:rsidRDefault="00054AFE" w:rsidP="001F65FF">
      <w:pPr>
        <w:spacing w:after="0" w:line="240" w:lineRule="auto"/>
      </w:pPr>
      <w:r>
        <w:separator/>
      </w:r>
    </w:p>
  </w:footnote>
  <w:footnote w:type="continuationSeparator" w:id="0">
    <w:p w:rsidR="00054AFE" w:rsidRDefault="00054AFE" w:rsidP="001F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095728"/>
      <w:docPartObj>
        <w:docPartGallery w:val="Page Numbers (Top of Page)"/>
        <w:docPartUnique/>
      </w:docPartObj>
    </w:sdtPr>
    <w:sdtEndPr/>
    <w:sdtContent>
      <w:p w:rsidR="001F65FF" w:rsidRDefault="001F65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C5B">
          <w:rPr>
            <w:noProof/>
          </w:rPr>
          <w:t>2</w:t>
        </w:r>
        <w:r>
          <w:fldChar w:fldCharType="end"/>
        </w:r>
      </w:p>
    </w:sdtContent>
  </w:sdt>
  <w:p w:rsidR="001F65FF" w:rsidRDefault="001F65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5B65"/>
    <w:rsid w:val="00026702"/>
    <w:rsid w:val="00054AFE"/>
    <w:rsid w:val="000646E0"/>
    <w:rsid w:val="00065F5A"/>
    <w:rsid w:val="00086B27"/>
    <w:rsid w:val="000C24D9"/>
    <w:rsid w:val="000C4C8D"/>
    <w:rsid w:val="000F0CFA"/>
    <w:rsid w:val="00110BA1"/>
    <w:rsid w:val="00140003"/>
    <w:rsid w:val="0014754C"/>
    <w:rsid w:val="00150360"/>
    <w:rsid w:val="00153579"/>
    <w:rsid w:val="00161663"/>
    <w:rsid w:val="00171FA2"/>
    <w:rsid w:val="00172CF1"/>
    <w:rsid w:val="0018131B"/>
    <w:rsid w:val="00183B52"/>
    <w:rsid w:val="001865AB"/>
    <w:rsid w:val="001A0193"/>
    <w:rsid w:val="001A7692"/>
    <w:rsid w:val="001D0483"/>
    <w:rsid w:val="001F2084"/>
    <w:rsid w:val="001F65FF"/>
    <w:rsid w:val="001F738C"/>
    <w:rsid w:val="00217A8F"/>
    <w:rsid w:val="00230DDE"/>
    <w:rsid w:val="00257382"/>
    <w:rsid w:val="00266DDF"/>
    <w:rsid w:val="00286795"/>
    <w:rsid w:val="00293E6E"/>
    <w:rsid w:val="002A6ED6"/>
    <w:rsid w:val="002B2F02"/>
    <w:rsid w:val="002F350F"/>
    <w:rsid w:val="0031017C"/>
    <w:rsid w:val="003128C2"/>
    <w:rsid w:val="00315320"/>
    <w:rsid w:val="00344757"/>
    <w:rsid w:val="0035466C"/>
    <w:rsid w:val="003611FD"/>
    <w:rsid w:val="0037511F"/>
    <w:rsid w:val="003809DA"/>
    <w:rsid w:val="003B57BD"/>
    <w:rsid w:val="003B5933"/>
    <w:rsid w:val="003F4AB7"/>
    <w:rsid w:val="00465FF9"/>
    <w:rsid w:val="0047490E"/>
    <w:rsid w:val="004A7C85"/>
    <w:rsid w:val="004B43E6"/>
    <w:rsid w:val="004C197C"/>
    <w:rsid w:val="004D1D40"/>
    <w:rsid w:val="0050286C"/>
    <w:rsid w:val="00503F41"/>
    <w:rsid w:val="0050444D"/>
    <w:rsid w:val="005048D6"/>
    <w:rsid w:val="00510DCB"/>
    <w:rsid w:val="005170BF"/>
    <w:rsid w:val="00517DB1"/>
    <w:rsid w:val="005234B7"/>
    <w:rsid w:val="00527086"/>
    <w:rsid w:val="00533AFC"/>
    <w:rsid w:val="005422D1"/>
    <w:rsid w:val="00577817"/>
    <w:rsid w:val="00596C76"/>
    <w:rsid w:val="005D07AE"/>
    <w:rsid w:val="005D4361"/>
    <w:rsid w:val="005E4A6D"/>
    <w:rsid w:val="0060367C"/>
    <w:rsid w:val="00641FF0"/>
    <w:rsid w:val="006422E1"/>
    <w:rsid w:val="00643062"/>
    <w:rsid w:val="006469F5"/>
    <w:rsid w:val="00657441"/>
    <w:rsid w:val="00657EFF"/>
    <w:rsid w:val="00663DF8"/>
    <w:rsid w:val="00675E7A"/>
    <w:rsid w:val="006B22C2"/>
    <w:rsid w:val="006C1A26"/>
    <w:rsid w:val="006D5D21"/>
    <w:rsid w:val="006F5AAF"/>
    <w:rsid w:val="00702C96"/>
    <w:rsid w:val="00740216"/>
    <w:rsid w:val="00747FC3"/>
    <w:rsid w:val="00755313"/>
    <w:rsid w:val="0077525E"/>
    <w:rsid w:val="00790276"/>
    <w:rsid w:val="00792712"/>
    <w:rsid w:val="007B6B81"/>
    <w:rsid w:val="007C5462"/>
    <w:rsid w:val="007C5C0C"/>
    <w:rsid w:val="00804016"/>
    <w:rsid w:val="00810713"/>
    <w:rsid w:val="008425C8"/>
    <w:rsid w:val="0086383C"/>
    <w:rsid w:val="0089305B"/>
    <w:rsid w:val="008A4639"/>
    <w:rsid w:val="008B4948"/>
    <w:rsid w:val="008C3CBE"/>
    <w:rsid w:val="008C5A02"/>
    <w:rsid w:val="008D22AB"/>
    <w:rsid w:val="008D3E36"/>
    <w:rsid w:val="008E1F81"/>
    <w:rsid w:val="008F4FE6"/>
    <w:rsid w:val="0090527C"/>
    <w:rsid w:val="00927C4C"/>
    <w:rsid w:val="00937AD7"/>
    <w:rsid w:val="00953E3B"/>
    <w:rsid w:val="00955625"/>
    <w:rsid w:val="00966E14"/>
    <w:rsid w:val="009755DD"/>
    <w:rsid w:val="00981253"/>
    <w:rsid w:val="00986466"/>
    <w:rsid w:val="009910A3"/>
    <w:rsid w:val="009B71A7"/>
    <w:rsid w:val="009B7D26"/>
    <w:rsid w:val="009E7F3C"/>
    <w:rsid w:val="00A03216"/>
    <w:rsid w:val="00A20006"/>
    <w:rsid w:val="00A258CE"/>
    <w:rsid w:val="00A54652"/>
    <w:rsid w:val="00A54B64"/>
    <w:rsid w:val="00A87D00"/>
    <w:rsid w:val="00AC5B19"/>
    <w:rsid w:val="00AE712F"/>
    <w:rsid w:val="00AE7E91"/>
    <w:rsid w:val="00AF2FAB"/>
    <w:rsid w:val="00AF4AD3"/>
    <w:rsid w:val="00B07ABC"/>
    <w:rsid w:val="00B11EE8"/>
    <w:rsid w:val="00B62AED"/>
    <w:rsid w:val="00B648EB"/>
    <w:rsid w:val="00BA5C5B"/>
    <w:rsid w:val="00BB2721"/>
    <w:rsid w:val="00BB4DB0"/>
    <w:rsid w:val="00BC3BF5"/>
    <w:rsid w:val="00BC7D8F"/>
    <w:rsid w:val="00BE0EB9"/>
    <w:rsid w:val="00BE780D"/>
    <w:rsid w:val="00BF6B5D"/>
    <w:rsid w:val="00C056EA"/>
    <w:rsid w:val="00C1209B"/>
    <w:rsid w:val="00C23CA5"/>
    <w:rsid w:val="00C25491"/>
    <w:rsid w:val="00C26754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1C2D"/>
    <w:rsid w:val="00D736D6"/>
    <w:rsid w:val="00D772E6"/>
    <w:rsid w:val="00DA0C12"/>
    <w:rsid w:val="00DA34E4"/>
    <w:rsid w:val="00DC752E"/>
    <w:rsid w:val="00DD7501"/>
    <w:rsid w:val="00E06504"/>
    <w:rsid w:val="00E1143E"/>
    <w:rsid w:val="00E414BE"/>
    <w:rsid w:val="00E955C7"/>
    <w:rsid w:val="00EA53A2"/>
    <w:rsid w:val="00ED2C1C"/>
    <w:rsid w:val="00ED4615"/>
    <w:rsid w:val="00EF4B9F"/>
    <w:rsid w:val="00F119F5"/>
    <w:rsid w:val="00F30614"/>
    <w:rsid w:val="00F657ED"/>
    <w:rsid w:val="00F659C9"/>
    <w:rsid w:val="00F66F9F"/>
    <w:rsid w:val="00F754E0"/>
    <w:rsid w:val="00FD1E1F"/>
    <w:rsid w:val="00FD1EFA"/>
    <w:rsid w:val="00FE287F"/>
    <w:rsid w:val="00FF22E6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F6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65FF"/>
  </w:style>
  <w:style w:type="paragraph" w:styleId="aa">
    <w:name w:val="footer"/>
    <w:basedOn w:val="a"/>
    <w:link w:val="ab"/>
    <w:uiPriority w:val="99"/>
    <w:unhideWhenUsed/>
    <w:rsid w:val="001F6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65FF"/>
  </w:style>
  <w:style w:type="character" w:customStyle="1" w:styleId="20">
    <w:name w:val="Заголовок 2 Знак"/>
    <w:basedOn w:val="a0"/>
    <w:link w:val="2"/>
    <w:uiPriority w:val="9"/>
    <w:semiHidden/>
    <w:rsid w:val="00110B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caption"/>
    <w:aliases w:val="Табл"/>
    <w:basedOn w:val="a"/>
    <w:next w:val="a"/>
    <w:semiHidden/>
    <w:unhideWhenUsed/>
    <w:qFormat/>
    <w:rsid w:val="00110B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patul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F134-F5A6-4EB2-BF18-2AA9990A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6</cp:revision>
  <cp:lastPrinted>2025-10-21T13:55:00Z</cp:lastPrinted>
  <dcterms:created xsi:type="dcterms:W3CDTF">2025-10-23T11:16:00Z</dcterms:created>
  <dcterms:modified xsi:type="dcterms:W3CDTF">2025-10-28T07:35:00Z</dcterms:modified>
</cp:coreProperties>
</file>